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Реестр библейских подмен в разговорах Толяцифера и Лилит</w:t>
      </w:r>
    </w:p>
    <w:p>
      <w:pPr>
        <w:jc w:val="center"/>
      </w:pPr>
      <w:r>
        <w:rPr>
          <w:i/>
        </w:rPr>
        <w:t>Аналитическая карта по массиву транскриптов</w:t>
      </w:r>
    </w:p>
    <w:p>
      <w:pPr>
        <w:pStyle w:val="Heading1"/>
      </w:pPr>
      <w:r>
        <w:t>Метод</w:t>
      </w:r>
    </w:p>
    <w:p>
      <w:r>
        <w:t>В реестр включены не просто спорные богословские мнения, а места, где библейский текст, образ или принцип получает функцию, существенно отличающуюся от его функции в исходном контексте. Для каждого эпизода указано: что утверждается в разговоре, что делает исходный текст, в чём именно подмена и какую психологическую/нравственную функцию она может выполнять. Оценка 10/10 означает почти прямую инверсию смысла; 7–9/10 — сильную подмену; 4–6/10 — существенное смещение; ниже — спорная или недостаточно доказанная интерпретация.</w:t>
      </w:r>
    </w:p>
    <w:p>
      <w:pPr>
        <w:pStyle w:val="Heading1"/>
      </w:pPr>
      <w:r>
        <w:t>Реестр</w:t>
      </w:r>
    </w:p>
    <w:p>
      <w:pPr>
        <w:pStyle w:val="Heading2"/>
      </w:pPr>
      <w:r>
        <w:t>1. Осадный каннибализм → «семья и любовь нереальны»</w:t>
      </w:r>
    </w:p>
    <w:p>
      <w:r>
        <w:rPr>
          <w:b/>
        </w:rPr>
        <w:t xml:space="preserve">Сила подмены: </w:t>
      </w:r>
      <w:r>
        <w:t>10/10</w:t>
      </w:r>
    </w:p>
    <w:p>
      <w:r>
        <w:rPr>
          <w:b/>
        </w:rPr>
        <w:t xml:space="preserve">Транскрипт: </w:t>
      </w:r>
      <w:r>
        <w:t>20210112131606.docx</w:t>
      </w:r>
    </w:p>
    <w:p>
      <w:r>
        <w:rPr>
          <w:b/>
        </w:rPr>
        <w:t xml:space="preserve">Что говорится: </w:t>
      </w:r>
      <w:r>
        <w:t>В разговоре история о матерях, которые во время осады варили и ели собственных детей, используется для вывода: «какая жена, какая любовь… всё это нереально»; далее звучит гиперболическая формула, что при изменении обстоятельств человек «схавает ребёнка» и даже не поделится.</w:t>
      </w:r>
    </w:p>
    <w:p>
      <w:r>
        <w:rPr>
          <w:b/>
        </w:rPr>
        <w:t xml:space="preserve">Библейская опора: </w:t>
      </w:r>
      <w:r>
        <w:t>Втор 28:53–57; 4 Цар 6:28–29; Плач 2:20; 4:10</w:t>
      </w:r>
    </w:p>
    <w:p>
      <w:r>
        <w:rPr>
          <w:b/>
        </w:rPr>
        <w:t xml:space="preserve">Что делает исходный текст: </w:t>
      </w:r>
      <w:r>
        <w:t>В этих текстах каннибализм — знак предельной катастрофы осады, голода и разрушения нормальной человеческой жизни. Ужас образа основан именно на том, что материнская любовь и семейная связь считаются естественными и сильными.</w:t>
      </w:r>
    </w:p>
    <w:p>
      <w:r>
        <w:rPr>
          <w:b/>
        </w:rPr>
        <w:t xml:space="preserve">В чём подмена: </w:t>
      </w:r>
      <w:r>
        <w:t>Катастрофическое исключение превращается в доказательство того, что самой нормы не существует. Это логическая инверсия.</w:t>
      </w:r>
    </w:p>
    <w:p>
      <w:r>
        <w:rPr>
          <w:b/>
        </w:rPr>
        <w:t xml:space="preserve">Функция в динамике: </w:t>
      </w:r>
      <w:r>
        <w:t>Разрушает доверие к браку, материнству и устойчивой любви как к реальным нравственным ценностям; делает любые связи условными и легко отменяемыми.</w:t>
      </w:r>
    </w:p>
    <w:p>
      <w:pPr>
        <w:pStyle w:val="Heading2"/>
      </w:pPr>
      <w:r>
        <w:t>2. 1 Кор 6:16 → сексуальная связь важнее брака</w:t>
      </w:r>
    </w:p>
    <w:p>
      <w:r>
        <w:rPr>
          <w:b/>
        </w:rPr>
        <w:t xml:space="preserve">Сила подмены: </w:t>
      </w:r>
      <w:r>
        <w:t>10/10</w:t>
      </w:r>
    </w:p>
    <w:p>
      <w:r>
        <w:rPr>
          <w:b/>
        </w:rPr>
        <w:t xml:space="preserve">Транскрипт: </w:t>
      </w:r>
      <w:r>
        <w:t>20210110230823.docx</w:t>
      </w:r>
    </w:p>
    <w:p>
      <w:r>
        <w:rPr>
          <w:b/>
        </w:rPr>
        <w:t xml:space="preserve">Что говорится: </w:t>
      </w:r>
      <w:r>
        <w:t>На вопрос Лилит о том, женат ли он и живёт ли с женщиной, Толяцифер отвечает, что «женатство вообще… не имеет никакого отношения», а затем ссылается на «соединяющегося с блудницей» и идею «одной плоти».</w:t>
      </w:r>
    </w:p>
    <w:p>
      <w:r>
        <w:rPr>
          <w:b/>
        </w:rPr>
        <w:t xml:space="preserve">Библейская опора: </w:t>
      </w:r>
      <w:r>
        <w:t>1 Кор 6:15–20; Быт 2:24</w:t>
      </w:r>
    </w:p>
    <w:p>
      <w:r>
        <w:rPr>
          <w:b/>
        </w:rPr>
        <w:t xml:space="preserve">Что делает исходный текст: </w:t>
      </w:r>
      <w:r>
        <w:t>Павел использует «одно тело» как аргумент ПРОТИВ блуда: именно реальность телесного соединения делает блуд серьёзным.</w:t>
      </w:r>
    </w:p>
    <w:p>
      <w:r>
        <w:rPr>
          <w:b/>
        </w:rPr>
        <w:t xml:space="preserve">В чём подмена: </w:t>
      </w:r>
      <w:r>
        <w:t>Предупреждение против сексуальной безнравственности превращается в средство размывания границы брака и в тезис, что сама сексуальная связь уже является главным фактом.</w:t>
      </w:r>
    </w:p>
    <w:p>
      <w:r>
        <w:rPr>
          <w:b/>
        </w:rPr>
        <w:t xml:space="preserve">Функция в динамике: </w:t>
      </w:r>
      <w:r>
        <w:t>Снимает препятствие, создаваемое существующим браком/партнёрством, и переводит оценку поведения из категории верности в категорию «особой связи».</w:t>
      </w:r>
    </w:p>
    <w:p>
      <w:pPr>
        <w:pStyle w:val="Heading2"/>
      </w:pPr>
      <w:r>
        <w:t>3. «Наши сосунки не из похоти» → эротическое действие получает «чистоту и святость»</w:t>
      </w:r>
    </w:p>
    <w:p>
      <w:r>
        <w:rPr>
          <w:b/>
        </w:rPr>
        <w:t xml:space="preserve">Сила подмены: </w:t>
      </w:r>
      <w:r>
        <w:t>10/10</w:t>
      </w:r>
    </w:p>
    <w:p>
      <w:r>
        <w:rPr>
          <w:b/>
        </w:rPr>
        <w:t xml:space="preserve">Транскрипт: </w:t>
      </w:r>
      <w:r>
        <w:t>20210110230823.docx</w:t>
      </w:r>
    </w:p>
    <w:p>
      <w:r>
        <w:rPr>
          <w:b/>
        </w:rPr>
        <w:t xml:space="preserve">Что говорится: </w:t>
      </w:r>
      <w:r>
        <w:t>После разговора о браке Толяцифер утверждает, что их близость не началась «из похоти», и говорит о «чистоте и святости» отношений.</w:t>
      </w:r>
    </w:p>
    <w:p>
      <w:r>
        <w:rPr>
          <w:b/>
        </w:rPr>
        <w:t xml:space="preserve">Библейская опора: </w:t>
      </w:r>
      <w:r>
        <w:t>Мф 5:27–30; 1 Фес 4:3–8; 1 Кор 6:18</w:t>
      </w:r>
    </w:p>
    <w:p>
      <w:r>
        <w:rPr>
          <w:b/>
        </w:rPr>
        <w:t xml:space="preserve">Что делает исходный текст: </w:t>
      </w:r>
      <w:r>
        <w:t>Новый Завет оценивает не только субъективно заявленный мотив, но и само действие, верность и владение телом в святости.</w:t>
      </w:r>
    </w:p>
    <w:p>
      <w:r>
        <w:rPr>
          <w:b/>
        </w:rPr>
        <w:t xml:space="preserve">В чём подмена: </w:t>
      </w:r>
      <w:r>
        <w:t>Собственная декларация «это не похоть» используется как исключение из обычной нравственной оценки.</w:t>
      </w:r>
    </w:p>
    <w:p>
      <w:r>
        <w:rPr>
          <w:b/>
        </w:rPr>
        <w:t xml:space="preserve">Функция в динамике: </w:t>
      </w:r>
      <w:r>
        <w:t>Создаёт привилегированную нравственную зону: то, что для других могло бы называться грехом, для них переименовывается в духовную глубину.</w:t>
      </w:r>
    </w:p>
    <w:p>
      <w:pPr>
        <w:pStyle w:val="Heading2"/>
      </w:pPr>
      <w:r>
        <w:t>4. Грех → «промах немощного» → покаяние не требуется</w:t>
      </w:r>
    </w:p>
    <w:p>
      <w:r>
        <w:rPr>
          <w:b/>
        </w:rPr>
        <w:t xml:space="preserve">Сила подмены: </w:t>
      </w:r>
      <w:r>
        <w:t>9/10</w:t>
      </w:r>
    </w:p>
    <w:p>
      <w:r>
        <w:rPr>
          <w:b/>
        </w:rPr>
        <w:t xml:space="preserve">Транскрипт: </w:t>
      </w:r>
      <w:r>
        <w:t>20210110230823.docx</w:t>
      </w:r>
    </w:p>
    <w:p>
      <w:r>
        <w:rPr>
          <w:b/>
        </w:rPr>
        <w:t xml:space="preserve">Что говорится: </w:t>
      </w:r>
      <w:r>
        <w:t>Толяцифер называет возможные сексуальные нарушения «промахами» немощных людей и сравнивает их со слепотой или физической слабостью, спрашивая: «в чём слепому каяться?»</w:t>
      </w:r>
    </w:p>
    <w:p>
      <w:r>
        <w:rPr>
          <w:b/>
        </w:rPr>
        <w:t xml:space="preserve">Библейская опора: </w:t>
      </w:r>
      <w:r>
        <w:t>Рим 6:1–14; 1 Ин 1:8–10; Иак 1:13–16</w:t>
      </w:r>
    </w:p>
    <w:p>
      <w:r>
        <w:rPr>
          <w:b/>
        </w:rPr>
        <w:t xml:space="preserve">Что делает исходный текст: </w:t>
      </w:r>
      <w:r>
        <w:t>Библейская «немощь» не отменяет ответственности за сознательный грех; признание немощи обычно ведёт к зависимости от Бога и покаянию, а не к исключению покаяния.</w:t>
      </w:r>
    </w:p>
    <w:p>
      <w:r>
        <w:rPr>
          <w:b/>
        </w:rPr>
        <w:t xml:space="preserve">В чём подмена: </w:t>
      </w:r>
      <w:r>
        <w:t>Моральный поступок приравнивается к невольному физическому ограничению.</w:t>
      </w:r>
    </w:p>
    <w:p>
      <w:r>
        <w:rPr>
          <w:b/>
        </w:rPr>
        <w:t xml:space="preserve">Функция в динамике: </w:t>
      </w:r>
      <w:r>
        <w:t>Уменьшает чувство ответственности и делает покаяние логически ненужным.</w:t>
      </w:r>
    </w:p>
    <w:p>
      <w:pPr>
        <w:pStyle w:val="Heading2"/>
      </w:pPr>
      <w:r>
        <w:t>5. «Закона нет — нет и преступления» → фактическая отмена нравственной нормы</w:t>
      </w:r>
    </w:p>
    <w:p>
      <w:r>
        <w:rPr>
          <w:b/>
        </w:rPr>
        <w:t xml:space="preserve">Сила подмены: </w:t>
      </w:r>
      <w:r>
        <w:t>10/10</w:t>
      </w:r>
    </w:p>
    <w:p>
      <w:r>
        <w:rPr>
          <w:b/>
        </w:rPr>
        <w:t xml:space="preserve">Транскрипт: </w:t>
      </w:r>
      <w:r>
        <w:t>20210108133840.docx</w:t>
      </w:r>
    </w:p>
    <w:p>
      <w:r>
        <w:rPr>
          <w:b/>
        </w:rPr>
        <w:t xml:space="preserve">Что говорится: </w:t>
      </w:r>
      <w:r>
        <w:t>Толяцифер говорит: Христос исполнил Тору, «закона как такового сегодня нет»; далее: «нет закона, нет и преступления».</w:t>
      </w:r>
    </w:p>
    <w:p>
      <w:r>
        <w:rPr>
          <w:b/>
        </w:rPr>
        <w:t xml:space="preserve">Библейская опора: </w:t>
      </w:r>
      <w:r>
        <w:t>Рим 3:31; 6:1–2, 15; 8:2–4; 13:8–10; Гал 5:13–14</w:t>
      </w:r>
    </w:p>
    <w:p>
      <w:r>
        <w:rPr>
          <w:b/>
        </w:rPr>
        <w:t xml:space="preserve">Что делает исходный текст: </w:t>
      </w:r>
      <w:r>
        <w:t>Павел действительно учит, что оправдание не достигается делами Моисеева закона. Но он не выводит из этого отсутствие нравственного различия между грехом и праведностью.</w:t>
      </w:r>
    </w:p>
    <w:p>
      <w:r>
        <w:rPr>
          <w:b/>
        </w:rPr>
        <w:t xml:space="preserve">В чём подмена: </w:t>
      </w:r>
      <w:r>
        <w:t>Юридический аргумент Павла о законе и оправдании расширяется до общего тезиса, будто нравственный закон исчез.</w:t>
      </w:r>
    </w:p>
    <w:p>
      <w:r>
        <w:rPr>
          <w:b/>
        </w:rPr>
        <w:t xml:space="preserve">Функция в динамике: </w:t>
      </w:r>
      <w:r>
        <w:t>Создаёт универсальную рамку, в которой запрет легко объявить «законом», а затем отменить как противоположность благодати.</w:t>
      </w:r>
    </w:p>
    <w:p>
      <w:pPr>
        <w:pStyle w:val="Heading2"/>
      </w:pPr>
      <w:r>
        <w:t>6. Закон + благодать = «Вавилон/блудница»</w:t>
      </w:r>
    </w:p>
    <w:p>
      <w:r>
        <w:rPr>
          <w:b/>
        </w:rPr>
        <w:t xml:space="preserve">Сила подмены: </w:t>
      </w:r>
      <w:r>
        <w:t>9/10</w:t>
      </w:r>
    </w:p>
    <w:p>
      <w:r>
        <w:rPr>
          <w:b/>
        </w:rPr>
        <w:t xml:space="preserve">Транскрипт: </w:t>
      </w:r>
      <w:r>
        <w:t>20210108133840.docx; 20210114111550.docx</w:t>
      </w:r>
    </w:p>
    <w:p>
      <w:r>
        <w:rPr>
          <w:b/>
        </w:rPr>
        <w:t xml:space="preserve">Что говорится: </w:t>
      </w:r>
      <w:r>
        <w:t>Толяцифер называет «смешение благодати и закона» Вавилоном и блудницей Откровения и связывает призыв «выйди из неё, народ Мой» с выходом из такого смешения.</w:t>
      </w:r>
    </w:p>
    <w:p>
      <w:r>
        <w:rPr>
          <w:b/>
        </w:rPr>
        <w:t xml:space="preserve">Библейская опора: </w:t>
      </w:r>
      <w:r>
        <w:t>Откр 17–18; Рим 7–8; Гал 3–5</w:t>
      </w:r>
    </w:p>
    <w:p>
      <w:r>
        <w:rPr>
          <w:b/>
        </w:rPr>
        <w:t xml:space="preserve">Что делает исходный текст: </w:t>
      </w:r>
      <w:r>
        <w:t>В Откровении Вавилон — символическое изображение развращённой мировой/имперской системы, идолопоклонства, роскоши, насилия и преследования святых; текст прямо не определяет Вавилон как смесь закона и благодати.</w:t>
      </w:r>
    </w:p>
    <w:p>
      <w:r>
        <w:rPr>
          <w:b/>
        </w:rPr>
        <w:t xml:space="preserve">В чём подмена: </w:t>
      </w:r>
      <w:r>
        <w:t>Символ Откровения получает новое, авторское определение без опоры на сам текст.</w:t>
      </w:r>
    </w:p>
    <w:p>
      <w:r>
        <w:rPr>
          <w:b/>
        </w:rPr>
        <w:t xml:space="preserve">Функция в динамике: </w:t>
      </w:r>
      <w:r>
        <w:t>Позволяет маркировать несогласных как часть «Вавилона» и тем самым выводить их аргументы из рассмотрения заранее.</w:t>
      </w:r>
    </w:p>
    <w:p>
      <w:pPr>
        <w:pStyle w:val="Heading2"/>
      </w:pPr>
      <w:r>
        <w:t>7. Галатам о законе → любое исполнение нормы = «отпадение от благодати»</w:t>
      </w:r>
    </w:p>
    <w:p>
      <w:r>
        <w:rPr>
          <w:b/>
        </w:rPr>
        <w:t xml:space="preserve">Сила подмены: </w:t>
      </w:r>
      <w:r>
        <w:t>8/10</w:t>
      </w:r>
    </w:p>
    <w:p>
      <w:r>
        <w:rPr>
          <w:b/>
        </w:rPr>
        <w:t xml:space="preserve">Транскрипт: </w:t>
      </w:r>
      <w:r>
        <w:t>20210114111550.docx</w:t>
      </w:r>
    </w:p>
    <w:p>
      <w:r>
        <w:rPr>
          <w:b/>
        </w:rPr>
        <w:t xml:space="preserve">Что говорится: </w:t>
      </w:r>
      <w:r>
        <w:t>Из Павловой критики обрезания и попытки оправдаться законом делается формула: «если ты начинаешь исполнять закон, ты отпадаешь от благодати».</w:t>
      </w:r>
    </w:p>
    <w:p>
      <w:r>
        <w:rPr>
          <w:b/>
        </w:rPr>
        <w:t xml:space="preserve">Библейская опора: </w:t>
      </w:r>
      <w:r>
        <w:t>Гал 5:1–6, 13–14; 6:2</w:t>
      </w:r>
    </w:p>
    <w:p>
      <w:r>
        <w:rPr>
          <w:b/>
        </w:rPr>
        <w:t xml:space="preserve">Что делает исходный текст: </w:t>
      </w:r>
      <w:r>
        <w:t>Контекст Гал 5 — попытка получить оправдание через обрезание и закон как основание праведности. В той же главе Павел требует любви, самообладания и неисполнения дел плоти.</w:t>
      </w:r>
    </w:p>
    <w:p>
      <w:r>
        <w:rPr>
          <w:b/>
        </w:rPr>
        <w:t xml:space="preserve">В чём подмена: </w:t>
      </w:r>
      <w:r>
        <w:t>«Оправдываться законом» подменяется более широкой категорией «исполнять нравственную норму вообще».</w:t>
      </w:r>
    </w:p>
    <w:p>
      <w:r>
        <w:rPr>
          <w:b/>
        </w:rPr>
        <w:t xml:space="preserve">Функция в динамике: </w:t>
      </w:r>
      <w:r>
        <w:t>Делает сам язык заповеди подозрительным и облегчает представление нравственных границ как духовного рабства.</w:t>
      </w:r>
    </w:p>
    <w:p>
      <w:pPr>
        <w:pStyle w:val="Heading2"/>
      </w:pPr>
      <w:r>
        <w:t>8. Ин 6:63 «дух животворит» → внешние запреты бессмысленны</w:t>
      </w:r>
    </w:p>
    <w:p>
      <w:r>
        <w:rPr>
          <w:b/>
        </w:rPr>
        <w:t xml:space="preserve">Сила подмены: </w:t>
      </w:r>
      <w:r>
        <w:t>9/10</w:t>
      </w:r>
    </w:p>
    <w:p>
      <w:r>
        <w:rPr>
          <w:b/>
        </w:rPr>
        <w:t xml:space="preserve">Транскрипт: </w:t>
      </w:r>
      <w:r>
        <w:t>20210202173839.docx</w:t>
      </w:r>
    </w:p>
    <w:p>
      <w:r>
        <w:rPr>
          <w:b/>
        </w:rPr>
        <w:t xml:space="preserve">Что говорится: </w:t>
      </w:r>
      <w:r>
        <w:t>В контексте разговора о сексуальном «кумаре» Толяцифер говорит, что если человеку всё запретить, он сойдёт с ума; затем цитирует: «плоть не пользует нимало, дух животворит».</w:t>
      </w:r>
    </w:p>
    <w:p>
      <w:r>
        <w:rPr>
          <w:b/>
        </w:rPr>
        <w:t xml:space="preserve">Библейская опора: </w:t>
      </w:r>
      <w:r>
        <w:t>Ин 6:60–69</w:t>
      </w:r>
    </w:p>
    <w:p>
      <w:r>
        <w:rPr>
          <w:b/>
        </w:rPr>
        <w:t xml:space="preserve">Что делает исходный текст: </w:t>
      </w:r>
      <w:r>
        <w:t>В Ин 6 речь идёт о словах Иисуса, вере и духовном понимании Его речи о хлебе жизни, а не об отмене сексуальных или иных нравственных ограничений.</w:t>
      </w:r>
    </w:p>
    <w:p>
      <w:r>
        <w:rPr>
          <w:b/>
        </w:rPr>
        <w:t xml:space="preserve">В чём подмена: </w:t>
      </w:r>
      <w:r>
        <w:t>Фраза из совершенно другого контекста превращается в аргумент против внешней нравственной границы.</w:t>
      </w:r>
    </w:p>
    <w:p>
      <w:r>
        <w:rPr>
          <w:b/>
        </w:rPr>
        <w:t xml:space="preserve">Функция в динамике: </w:t>
      </w:r>
      <w:r>
        <w:t>Подкрепляет схему: запрет = религия/рабство; внутреннее чувство = дух/свобода.</w:t>
      </w:r>
    </w:p>
    <w:p>
      <w:pPr>
        <w:pStyle w:val="Heading2"/>
      </w:pPr>
      <w:r>
        <w:t>9. «Водительство Духа» → внутреннее ощущение заменяет проверяемую норму</w:t>
      </w:r>
    </w:p>
    <w:p>
      <w:r>
        <w:rPr>
          <w:b/>
        </w:rPr>
        <w:t xml:space="preserve">Сила подмены: </w:t>
      </w:r>
      <w:r>
        <w:t>8/10</w:t>
      </w:r>
    </w:p>
    <w:p>
      <w:r>
        <w:rPr>
          <w:b/>
        </w:rPr>
        <w:t xml:space="preserve">Транскрипт: </w:t>
      </w:r>
      <w:r>
        <w:t>20210202173839.docx; 20201202130756.docx</w:t>
      </w:r>
    </w:p>
    <w:p>
      <w:r>
        <w:rPr>
          <w:b/>
        </w:rPr>
        <w:t xml:space="preserve">Что говорится: </w:t>
      </w:r>
      <w:r>
        <w:t>Толяцифер противопоставляет внешнее руководство внутреннему: слова меняют мышление, затем человек «внутри приходит к мнению»; это объявляется водительством духа. Ранее он предлагает общение «из духа в дух».</w:t>
      </w:r>
    </w:p>
    <w:p>
      <w:r>
        <w:rPr>
          <w:b/>
        </w:rPr>
        <w:t xml:space="preserve">Библейская опора: </w:t>
      </w:r>
      <w:r>
        <w:t>1 Ин 4:1; Гал 5:22–25; 1 Кор 14:29; 1 Фес 5:21</w:t>
      </w:r>
    </w:p>
    <w:p>
      <w:r>
        <w:rPr>
          <w:b/>
        </w:rPr>
        <w:t xml:space="preserve">Что делает исходный текст: </w:t>
      </w:r>
      <w:r>
        <w:t>Новый Завет не делает внутреннее впечатление самодоказательным: духи испытываются, пророчества рассуждаются, всё проверяется, а действие Духа оценивается по плодам.</w:t>
      </w:r>
    </w:p>
    <w:p>
      <w:r>
        <w:rPr>
          <w:b/>
        </w:rPr>
        <w:t xml:space="preserve">В чём подмена: </w:t>
      </w:r>
      <w:r>
        <w:t>Субъективное внутреннее переживание получает почти самоподтверждающий статус.</w:t>
      </w:r>
    </w:p>
    <w:p>
      <w:r>
        <w:rPr>
          <w:b/>
        </w:rPr>
        <w:t xml:space="preserve">Функция в динамике: </w:t>
      </w:r>
      <w:r>
        <w:t>Повышает внушаемость: идея, пришедшая после общения с Толяцифером, может переживаться Лилит уже не как его влияние, а как её собственное духовное прозрение.</w:t>
      </w:r>
    </w:p>
    <w:p>
      <w:pPr>
        <w:pStyle w:val="Heading2"/>
      </w:pPr>
      <w:r>
        <w:t>10. Пётр и Корнилий → «мы должны кушать друг друга»</w:t>
      </w:r>
    </w:p>
    <w:p>
      <w:r>
        <w:rPr>
          <w:b/>
        </w:rPr>
        <w:t xml:space="preserve">Сила подмены: </w:t>
      </w:r>
      <w:r>
        <w:t>10/10</w:t>
      </w:r>
    </w:p>
    <w:p>
      <w:r>
        <w:rPr>
          <w:b/>
        </w:rPr>
        <w:t xml:space="preserve">Транскрипт: </w:t>
      </w:r>
      <w:r>
        <w:t>20201207234118.docx</w:t>
      </w:r>
    </w:p>
    <w:p>
      <w:r>
        <w:rPr>
          <w:b/>
        </w:rPr>
        <w:t xml:space="preserve">Что говорится: </w:t>
      </w:r>
      <w:r>
        <w:t>После верного пересказа Деян 10 («не почитай человека нечистым») Толяцифер делает переход: «мы не можем кушать одного человека, мы должны друг друга только кушать», затем: «Леночка, кушаю тебя».</w:t>
      </w:r>
    </w:p>
    <w:p>
      <w:r>
        <w:rPr>
          <w:b/>
        </w:rPr>
        <w:t xml:space="preserve">Библейская опора: </w:t>
      </w:r>
      <w:r>
        <w:t>Деян 10:9–35</w:t>
      </w:r>
    </w:p>
    <w:p>
      <w:r>
        <w:rPr>
          <w:b/>
        </w:rPr>
        <w:t xml:space="preserve">Что делает исходный текст: </w:t>
      </w:r>
      <w:r>
        <w:t>Видение Петра отменяет ритуальное разделение между иудеем и язычником и готовит его к входу в дом Корнилия. Оно не учит взаимному мистическому «поеданию» людей.</w:t>
      </w:r>
    </w:p>
    <w:p>
      <w:r>
        <w:rPr>
          <w:b/>
        </w:rPr>
        <w:t xml:space="preserve">В чём подмена: </w:t>
      </w:r>
      <w:r>
        <w:t>Метафора «заколи и ешь» переносится на межличностную духовную взаимопроницаемость, которой в тексте нет.</w:t>
      </w:r>
    </w:p>
    <w:p>
      <w:r>
        <w:rPr>
          <w:b/>
        </w:rPr>
        <w:t xml:space="preserve">Функция в динамике: </w:t>
      </w:r>
      <w:r>
        <w:t>Создаёт особый язык слияния между Толяцифером и Лилит и сакрализует их психологическую близость.</w:t>
      </w:r>
    </w:p>
    <w:p>
      <w:pPr>
        <w:pStyle w:val="Heading2"/>
      </w:pPr>
      <w:r>
        <w:t>11. Осия: Бог как муж Израиля → персональная мистическая рамка для Лилит</w:t>
      </w:r>
    </w:p>
    <w:p>
      <w:r>
        <w:rPr>
          <w:b/>
        </w:rPr>
        <w:t xml:space="preserve">Сила подмены: </w:t>
      </w:r>
      <w:r>
        <w:t>8/10</w:t>
      </w:r>
    </w:p>
    <w:p>
      <w:r>
        <w:rPr>
          <w:b/>
        </w:rPr>
        <w:t xml:space="preserve">Транскрипт: </w:t>
      </w:r>
      <w:r>
        <w:t>20210112131606.docx</w:t>
      </w:r>
    </w:p>
    <w:p>
      <w:r>
        <w:rPr>
          <w:b/>
        </w:rPr>
        <w:t xml:space="preserve">Что говорится: </w:t>
      </w:r>
      <w:r>
        <w:t>Толяцифер напоминает Осию: «я муж твой», затем говорит Лилит: «у тебя есть муж… прежде всего Он» и строит вокруг этого её личную идентичность и отношения.</w:t>
      </w:r>
    </w:p>
    <w:p>
      <w:r>
        <w:rPr>
          <w:b/>
        </w:rPr>
        <w:t xml:space="preserve">Библейская опора: </w:t>
      </w:r>
      <w:r>
        <w:t>Ос 2:14–23</w:t>
      </w:r>
    </w:p>
    <w:p>
      <w:r>
        <w:rPr>
          <w:b/>
        </w:rPr>
        <w:t xml:space="preserve">Что делает исходный текст: </w:t>
      </w:r>
      <w:r>
        <w:t>У Осии образ мужа относится к заветным отношениям Яхве и Израиля после неверности народа.</w:t>
      </w:r>
    </w:p>
    <w:p>
      <w:r>
        <w:rPr>
          <w:b/>
        </w:rPr>
        <w:t xml:space="preserve">В чём подмена: </w:t>
      </w:r>
      <w:r>
        <w:t>Коллективный пророческий образ без оговорок превращается в персональную психологическую схему, которую толкователь прикладывает к Лилит.</w:t>
      </w:r>
    </w:p>
    <w:p>
      <w:r>
        <w:rPr>
          <w:b/>
        </w:rPr>
        <w:t xml:space="preserve">Функция в динамике: </w:t>
      </w:r>
      <w:r>
        <w:t>Даёт Толяциферу возможность определять её отношения, одиночество, женственность и выбор мужчин через созданную им духовную рамку.</w:t>
      </w:r>
    </w:p>
    <w:p>
      <w:pPr>
        <w:pStyle w:val="Heading2"/>
      </w:pPr>
      <w:r>
        <w:t>12. «Лех-леха» Авраама → «иди своим путём, там можно всё»</w:t>
      </w:r>
    </w:p>
    <w:p>
      <w:r>
        <w:rPr>
          <w:b/>
        </w:rPr>
        <w:t xml:space="preserve">Сила подмены: </w:t>
      </w:r>
      <w:r>
        <w:t>8/10</w:t>
      </w:r>
    </w:p>
    <w:p>
      <w:r>
        <w:rPr>
          <w:b/>
        </w:rPr>
        <w:t xml:space="preserve">Транскрипт: </w:t>
      </w:r>
      <w:r>
        <w:t>20210114111550.docx</w:t>
      </w:r>
    </w:p>
    <w:p>
      <w:r>
        <w:rPr>
          <w:b/>
        </w:rPr>
        <w:t xml:space="preserve">Что говорится: </w:t>
      </w:r>
      <w:r>
        <w:t>Толяцифер формулирует «сама суть Авраама — человек движется своим путём… лех-леха, иди своим путём. Это много, мощно, там можно всё».</w:t>
      </w:r>
    </w:p>
    <w:p>
      <w:r>
        <w:rPr>
          <w:b/>
        </w:rPr>
        <w:t xml:space="preserve">Библейская опора: </w:t>
      </w:r>
      <w:r>
        <w:t>Быт 12:1–4</w:t>
      </w:r>
    </w:p>
    <w:p>
      <w:r>
        <w:rPr>
          <w:b/>
        </w:rPr>
        <w:t xml:space="preserve">Что делает исходный текст: </w:t>
      </w:r>
      <w:r>
        <w:t>Авраам не отправляется по самовыбранному автономному пути: он идёт в землю, которую конкретно указывает Бог, в ответ на повеление Бога.</w:t>
      </w:r>
    </w:p>
    <w:p>
      <w:r>
        <w:rPr>
          <w:b/>
        </w:rPr>
        <w:t xml:space="preserve">В чём подмена: </w:t>
      </w:r>
      <w:r>
        <w:t>Послушание конкретному призыву превращается в принцип личной автономии — «свой путь».</w:t>
      </w:r>
    </w:p>
    <w:p>
      <w:r>
        <w:rPr>
          <w:b/>
        </w:rPr>
        <w:t xml:space="preserve">Функция в динамике: </w:t>
      </w:r>
      <w:r>
        <w:t>Духовно возвышает отход от внешних норм и авторитетов как якобы авраамическую свободу.</w:t>
      </w:r>
    </w:p>
    <w:p>
      <w:pPr>
        <w:pStyle w:val="Heading2"/>
      </w:pPr>
      <w:r>
        <w:t>13. Моисей «взирал на воздаяние» → его подвиг = просто выгодный расчёт</w:t>
      </w:r>
    </w:p>
    <w:p>
      <w:r>
        <w:rPr>
          <w:b/>
        </w:rPr>
        <w:t xml:space="preserve">Сила подмены: </w:t>
      </w:r>
      <w:r>
        <w:t>6/10</w:t>
      </w:r>
    </w:p>
    <w:p>
      <w:r>
        <w:rPr>
          <w:b/>
        </w:rPr>
        <w:t xml:space="preserve">Транскрипт: </w:t>
      </w:r>
      <w:r>
        <w:t>20210109150448.docx</w:t>
      </w:r>
    </w:p>
    <w:p>
      <w:r>
        <w:rPr>
          <w:b/>
        </w:rPr>
        <w:t xml:space="preserve">Что говорится: </w:t>
      </w:r>
      <w:r>
        <w:t>Толяцифер говорит: «весь подвиг Моисея, что он не был таким лохом» и объясняет выбор Моисея аналогией между 1 000, 100 000, миллионом и миллиардом долларов.</w:t>
      </w:r>
    </w:p>
    <w:p>
      <w:r>
        <w:rPr>
          <w:b/>
        </w:rPr>
        <w:t xml:space="preserve">Библейская опора: </w:t>
      </w:r>
      <w:r>
        <w:t>Евр 11:24–27</w:t>
      </w:r>
    </w:p>
    <w:p>
      <w:r>
        <w:rPr>
          <w:b/>
        </w:rPr>
        <w:t xml:space="preserve">Что делает исходный текст: </w:t>
      </w:r>
      <w:r>
        <w:t>Текст действительно упоминает воздаяние, поэтому это не полная фальсификация. Но смысл веры — выбор поношения и страдания ради невидимого Бога — редуцируется до расчёта максимальной выгоды.</w:t>
      </w:r>
    </w:p>
    <w:p>
      <w:r>
        <w:rPr>
          <w:b/>
        </w:rPr>
        <w:t xml:space="preserve">В чём подмена: </w:t>
      </w:r>
      <w:r>
        <w:t>Духовное доверие и готовность страдать заменяются моделью инвестиционной рациональности.</w:t>
      </w:r>
    </w:p>
    <w:p>
      <w:r>
        <w:rPr>
          <w:b/>
        </w:rPr>
        <w:t xml:space="preserve">Функция в динамике: </w:t>
      </w:r>
      <w:r>
        <w:t>Снижает значение самоотречения и делает веру разновидностью умного эгоистического выбора.</w:t>
      </w:r>
    </w:p>
    <w:p>
      <w:pPr>
        <w:pStyle w:val="Heading2"/>
      </w:pPr>
      <w:r>
        <w:t>14. Каин → «искать место, где есть Бог, это религия Каина»</w:t>
      </w:r>
    </w:p>
    <w:p>
      <w:r>
        <w:rPr>
          <w:b/>
        </w:rPr>
        <w:t xml:space="preserve">Сила подмены: </w:t>
      </w:r>
      <w:r>
        <w:t>7/10</w:t>
      </w:r>
    </w:p>
    <w:p>
      <w:r>
        <w:rPr>
          <w:b/>
        </w:rPr>
        <w:t xml:space="preserve">Транскрипт: </w:t>
      </w:r>
      <w:r>
        <w:t>20210129115610.docx</w:t>
      </w:r>
    </w:p>
    <w:p>
      <w:r>
        <w:rPr>
          <w:b/>
        </w:rPr>
        <w:t xml:space="preserve">Что говорится: </w:t>
      </w:r>
      <w:r>
        <w:t>Толяцифер утверждает: Каин «нашёл место, где можно убить брата»; христиане, которые ищут место, где есть Бог, делают то же самое; это объявляется «чистой Каинской религией».</w:t>
      </w:r>
    </w:p>
    <w:p>
      <w:r>
        <w:rPr>
          <w:b/>
        </w:rPr>
        <w:t xml:space="preserve">Библейская опора: </w:t>
      </w:r>
      <w:r>
        <w:t>Быт 4:3–16; Пс 138/139</w:t>
      </w:r>
    </w:p>
    <w:p>
      <w:r>
        <w:rPr>
          <w:b/>
        </w:rPr>
        <w:t xml:space="preserve">Что делает исходный текст: </w:t>
      </w:r>
      <w:r>
        <w:t>Бытие не строит богословскую мысль о том, что Каин выбирал «место без Бога» как принцип. Поле — место совершения убийства, но из этого не выводится учение о сакральных местах.</w:t>
      </w:r>
    </w:p>
    <w:p>
      <w:r>
        <w:rPr>
          <w:b/>
        </w:rPr>
        <w:t xml:space="preserve">В чём подмена: </w:t>
      </w:r>
      <w:r>
        <w:t>Из детали повествования создаётся универсальная типология «Каин = поиск особого места».</w:t>
      </w:r>
    </w:p>
    <w:p>
      <w:r>
        <w:rPr>
          <w:b/>
        </w:rPr>
        <w:t xml:space="preserve">Функция в динамике: </w:t>
      </w:r>
      <w:r>
        <w:t>Позволяет дискредитировать церковь, собрание или сакральное пространство через крайне тяжёлую ассоциацию с Каином.</w:t>
      </w:r>
    </w:p>
    <w:p>
      <w:pPr>
        <w:pStyle w:val="Heading2"/>
      </w:pPr>
      <w:r>
        <w:t>15. Авель → жертвоприношение якобы вторично и почти «каинское»</w:t>
      </w:r>
    </w:p>
    <w:p>
      <w:r>
        <w:rPr>
          <w:b/>
        </w:rPr>
        <w:t xml:space="preserve">Сила подмены: </w:t>
      </w:r>
      <w:r>
        <w:t>7/10</w:t>
      </w:r>
    </w:p>
    <w:p>
      <w:r>
        <w:rPr>
          <w:b/>
        </w:rPr>
        <w:t xml:space="preserve">Транскрипт: </w:t>
      </w:r>
      <w:r>
        <w:t>20210129115610.docx</w:t>
      </w:r>
    </w:p>
    <w:p>
      <w:r>
        <w:rPr>
          <w:b/>
        </w:rPr>
        <w:t xml:space="preserve">Что говорится: </w:t>
      </w:r>
      <w:r>
        <w:t>Толяцифер говорит, что Авель «жертву бы не приносил, если бы Каин не начал приносить» и что многие религиозные вещи люди делают потому, что «Каин научил».</w:t>
      </w:r>
    </w:p>
    <w:p>
      <w:r>
        <w:rPr>
          <w:b/>
        </w:rPr>
        <w:t xml:space="preserve">Библейская опора: </w:t>
      </w:r>
      <w:r>
        <w:t>Быт 4:3–5; Евр 11:4</w:t>
      </w:r>
    </w:p>
    <w:p>
      <w:r>
        <w:rPr>
          <w:b/>
        </w:rPr>
        <w:t xml:space="preserve">Что делает исходный текст: </w:t>
      </w:r>
      <w:r>
        <w:t>Текст не говорит, что Авель подражал Каину; Евр 11 прямо связывает жертву Авеля с верой.</w:t>
      </w:r>
    </w:p>
    <w:p>
      <w:r>
        <w:rPr>
          <w:b/>
        </w:rPr>
        <w:t xml:space="preserve">В чём подмена: </w:t>
      </w:r>
      <w:r>
        <w:t>Отсутствующее в тексте причинное отношение («Авель сделал потому, что Каин начал») подаётся как объяснение.</w:t>
      </w:r>
    </w:p>
    <w:p>
      <w:r>
        <w:rPr>
          <w:b/>
        </w:rPr>
        <w:t xml:space="preserve">Функция в динамике: </w:t>
      </w:r>
      <w:r>
        <w:t>Позволяет связать саму практику жертвы/богослужения с ложной религиозностью и укрепляет антирелигиозную рамку.</w:t>
      </w:r>
    </w:p>
    <w:p>
      <w:pPr>
        <w:pStyle w:val="Heading2"/>
      </w:pPr>
      <w:r>
        <w:t>16. «Единодушно» в Деян 2 → «этого слова вообще нет»</w:t>
      </w:r>
    </w:p>
    <w:p>
      <w:r>
        <w:rPr>
          <w:b/>
        </w:rPr>
        <w:t xml:space="preserve">Сила подмены: </w:t>
      </w:r>
      <w:r>
        <w:t>4/10, спорное</w:t>
      </w:r>
    </w:p>
    <w:p>
      <w:r>
        <w:rPr>
          <w:b/>
        </w:rPr>
        <w:t xml:space="preserve">Транскрипт: </w:t>
      </w:r>
      <w:r>
        <w:t>20210131135028.docx</w:t>
      </w:r>
    </w:p>
    <w:p>
      <w:r>
        <w:rPr>
          <w:b/>
        </w:rPr>
        <w:t xml:space="preserve">Что говорится: </w:t>
      </w:r>
      <w:r>
        <w:t>Толяцифер утверждает, что слова «единодушно» в оригинальном греческом тексте «вообще нет» и что людей собрал только праздник.</w:t>
      </w:r>
    </w:p>
    <w:p>
      <w:r>
        <w:rPr>
          <w:b/>
        </w:rPr>
        <w:t xml:space="preserve">Библейская опора: </w:t>
      </w:r>
      <w:r>
        <w:t>Деян 2:1 и текстологические варианты</w:t>
      </w:r>
    </w:p>
    <w:p>
      <w:r>
        <w:rPr>
          <w:b/>
        </w:rPr>
        <w:t xml:space="preserve">Что делает исходный текст: </w:t>
      </w:r>
      <w:r>
        <w:t>Здесь нужна текстологическая осторожность: в рукописной традиции есть варианты, и вопрос конкретной формулировки отличается по изданиям. Но из отсутствия/вариативности одного слова нельзя выводить, что у Луки отсутствует тема единства; она повторяется в Деяниях.</w:t>
      </w:r>
    </w:p>
    <w:p>
      <w:r>
        <w:rPr>
          <w:b/>
        </w:rPr>
        <w:t xml:space="preserve">В чём подмена: </w:t>
      </w:r>
      <w:r>
        <w:t>Слабая текстологическая деталь используется для сильного общего вывода против духовного единства.</w:t>
      </w:r>
    </w:p>
    <w:p>
      <w:r>
        <w:rPr>
          <w:b/>
        </w:rPr>
        <w:t xml:space="preserve">Функция в динамике: </w:t>
      </w:r>
      <w:r>
        <w:t>Это скорее пример чрезмерного вывода, чем один из главных подлогов.</w:t>
      </w:r>
    </w:p>
    <w:p>
      <w:pPr>
        <w:pStyle w:val="Heading2"/>
      </w:pPr>
      <w:r>
        <w:t>17. «Что посеешь, то пожнёшь» → объявление принципа почти нерелевантным для последствий поступков</w:t>
      </w:r>
    </w:p>
    <w:p>
      <w:r>
        <w:rPr>
          <w:b/>
        </w:rPr>
        <w:t xml:space="preserve">Сила подмены: </w:t>
      </w:r>
      <w:r>
        <w:t>7/10</w:t>
      </w:r>
    </w:p>
    <w:p>
      <w:r>
        <w:rPr>
          <w:b/>
        </w:rPr>
        <w:t xml:space="preserve">Транскрипт: </w:t>
      </w:r>
      <w:r>
        <w:t>20210128202534.docx</w:t>
      </w:r>
    </w:p>
    <w:p>
      <w:r>
        <w:rPr>
          <w:b/>
        </w:rPr>
        <w:t xml:space="preserve">Что говорится: </w:t>
      </w:r>
      <w:r>
        <w:t>Толяцифер возражает против обычного применения «что посеешь, то пожнёшь» и переводит Гал 6 в узкий контекст сеяния добра/вечной жизни, противопоставляя этому благодать.</w:t>
      </w:r>
    </w:p>
    <w:p>
      <w:r>
        <w:rPr>
          <w:b/>
        </w:rPr>
        <w:t xml:space="preserve">Библейская опора: </w:t>
      </w:r>
      <w:r>
        <w:t>Гал 6:7–10</w:t>
      </w:r>
    </w:p>
    <w:p>
      <w:r>
        <w:rPr>
          <w:b/>
        </w:rPr>
        <w:t xml:space="preserve">Что делает исходный текст: </w:t>
      </w:r>
      <w:r>
        <w:t>Контекст действительно говорит о сеянии в плоть/дух и делании добра; однако принцип прямо утверждает соответствие посева и жатвы и нравственные последствия направления жизни.</w:t>
      </w:r>
    </w:p>
    <w:p>
      <w:r>
        <w:rPr>
          <w:b/>
        </w:rPr>
        <w:t xml:space="preserve">В чём подмена: </w:t>
      </w:r>
      <w:r>
        <w:t>Правильная контекстуальная оговорка расширяется до ослабления самого принципа нравственной причинности.</w:t>
      </w:r>
    </w:p>
    <w:p>
      <w:r>
        <w:rPr>
          <w:b/>
        </w:rPr>
        <w:t xml:space="preserve">Функция в динамике: </w:t>
      </w:r>
      <w:r>
        <w:t>Может использоваться для снятия ожидания последствий собственных поступков под языком благодати.</w:t>
      </w:r>
    </w:p>
    <w:p>
      <w:pPr>
        <w:pStyle w:val="Heading2"/>
      </w:pPr>
      <w:r>
        <w:t>18. «Кто не любит Иисуса — анафема» → несогласие с интерпретацией становится угрозой разрыва с Христом</w:t>
      </w:r>
    </w:p>
    <w:p>
      <w:r>
        <w:rPr>
          <w:b/>
        </w:rPr>
        <w:t xml:space="preserve">Сила подмены: </w:t>
      </w:r>
      <w:r>
        <w:t>9/10</w:t>
      </w:r>
    </w:p>
    <w:p>
      <w:r>
        <w:rPr>
          <w:b/>
        </w:rPr>
        <w:t xml:space="preserve">Транскрипт: </w:t>
      </w:r>
      <w:r>
        <w:t>20210108133840.docx; 20210110230823.docx</w:t>
      </w:r>
    </w:p>
    <w:p>
      <w:r>
        <w:rPr>
          <w:b/>
        </w:rPr>
        <w:t xml:space="preserve">Что говорится: </w:t>
      </w:r>
      <w:r>
        <w:t>В разговорах звучит 1 Кор 16:22 («кто не любит Господа… анафема, Мараната») в сочетании с тезисом, что главное — «не пойти против Иисуса», а понимания Лилит должны вращаться вокруг Него.</w:t>
      </w:r>
    </w:p>
    <w:p>
      <w:r>
        <w:rPr>
          <w:b/>
        </w:rPr>
        <w:t xml:space="preserve">Библейская опора: </w:t>
      </w:r>
      <w:r>
        <w:t>1 Кор 16:22; 2 Кор 1:24; Деян 17:11</w:t>
      </w:r>
    </w:p>
    <w:p>
      <w:r>
        <w:rPr>
          <w:b/>
        </w:rPr>
        <w:t xml:space="preserve">Что делает исходный текст: </w:t>
      </w:r>
      <w:r>
        <w:t>Сам стих говорит о любви к Господу. Он не делает конкретного толкователя арбитром того, что именно означает «пойти против Иисуса».</w:t>
      </w:r>
    </w:p>
    <w:p>
      <w:r>
        <w:rPr>
          <w:b/>
        </w:rPr>
        <w:t xml:space="preserve">В чём подмена: </w:t>
      </w:r>
      <w:r>
        <w:t>Когда интерпретатор сам определяет содержание «верности Иисусу», несогласие с его трактовкой может быть неявно превращено в духовную неверность.</w:t>
      </w:r>
    </w:p>
    <w:p>
      <w:r>
        <w:rPr>
          <w:b/>
        </w:rPr>
        <w:t xml:space="preserve">Функция в динамике: </w:t>
      </w:r>
      <w:r>
        <w:t>Создаёт сильное давление на независимую проверку: поставить под сомнение Толяцифера психологически становится похожим на риск поставить под сомнение Христа.</w:t>
      </w:r>
    </w:p>
    <w:p>
      <w:pPr>
        <w:pStyle w:val="Heading2"/>
      </w:pPr>
      <w:r>
        <w:t>19. «Если мы неверны, Он остаётся верен» → благодать как страховка от ответственности</w:t>
      </w:r>
    </w:p>
    <w:p>
      <w:r>
        <w:rPr>
          <w:b/>
        </w:rPr>
        <w:t xml:space="preserve">Сила подмены: </w:t>
      </w:r>
      <w:r>
        <w:t>8/10</w:t>
      </w:r>
    </w:p>
    <w:p>
      <w:r>
        <w:rPr>
          <w:b/>
        </w:rPr>
        <w:t xml:space="preserve">Транскрипт: </w:t>
      </w:r>
      <w:r>
        <w:t>20210108133840.docx</w:t>
      </w:r>
    </w:p>
    <w:p>
      <w:r>
        <w:rPr>
          <w:b/>
        </w:rPr>
        <w:t xml:space="preserve">Что говорится: </w:t>
      </w:r>
      <w:r>
        <w:t>Фраза «если мы неверны, Он остаётся верен» используется как сильное успокоение внутри общей рамки, где закон и осуждение снимаются.</w:t>
      </w:r>
    </w:p>
    <w:p>
      <w:r>
        <w:rPr>
          <w:b/>
        </w:rPr>
        <w:t xml:space="preserve">Библейская опора: </w:t>
      </w:r>
      <w:r>
        <w:t>2 Тим 2:11–13</w:t>
      </w:r>
    </w:p>
    <w:p>
      <w:r>
        <w:rPr>
          <w:b/>
        </w:rPr>
        <w:t xml:space="preserve">Что делает исходный текст: </w:t>
      </w:r>
      <w:r>
        <w:t>В ближайшем контексте есть также: «если отречёмся, и Он отречётся от нас». Верность Бога означает верность Своему характеру и слову, а не безусловное одобрение любых действий.</w:t>
      </w:r>
    </w:p>
    <w:p>
      <w:r>
        <w:rPr>
          <w:b/>
        </w:rPr>
        <w:t xml:space="preserve">В чём подмена: </w:t>
      </w:r>
      <w:r>
        <w:t>Из пары сбалансированных утверждений выбирается только утешительная половина.</w:t>
      </w:r>
    </w:p>
    <w:p>
      <w:r>
        <w:rPr>
          <w:b/>
        </w:rPr>
        <w:t xml:space="preserve">Функция в динамике: </w:t>
      </w:r>
      <w:r>
        <w:t>Даёт психологическую гарантию безопасности без симметричного напоминания об ответственности и верности Христу.</w:t>
      </w:r>
    </w:p>
    <w:p>
      <w:pPr>
        <w:pStyle w:val="Heading2"/>
      </w:pPr>
      <w:r>
        <w:t>20. «Бог любит тебя такой, какая ты есть» → любовь отделяется от покаяния и изменения</w:t>
      </w:r>
    </w:p>
    <w:p>
      <w:r>
        <w:rPr>
          <w:b/>
        </w:rPr>
        <w:t xml:space="preserve">Сила подмены: </w:t>
      </w:r>
      <w:r>
        <w:t>7/10</w:t>
      </w:r>
    </w:p>
    <w:p>
      <w:r>
        <w:rPr>
          <w:b/>
        </w:rPr>
        <w:t xml:space="preserve">Транскрипт: </w:t>
      </w:r>
      <w:r>
        <w:t>20201202130756.docx</w:t>
      </w:r>
    </w:p>
    <w:p>
      <w:r>
        <w:rPr>
          <w:b/>
        </w:rPr>
        <w:t xml:space="preserve">Что говорится: </w:t>
      </w:r>
      <w:r>
        <w:t>Толяцифер подчёркивает: Бог не сказал «полюблю, если покаешься»; Он полюбил грешника таким, какой он есть, поэтому надо расслабиться и быть в отношениях.</w:t>
      </w:r>
    </w:p>
    <w:p>
      <w:r>
        <w:rPr>
          <w:b/>
        </w:rPr>
        <w:t xml:space="preserve">Библейская опора: </w:t>
      </w:r>
      <w:r>
        <w:t>Рим 5:8; Мк 1:15; Лк 13:3; Ин 8:11</w:t>
      </w:r>
    </w:p>
    <w:p>
      <w:r>
        <w:rPr>
          <w:b/>
        </w:rPr>
        <w:t xml:space="preserve">Что делает исходный текст: </w:t>
      </w:r>
      <w:r>
        <w:t>Первая часть верна: Божья любовь предшествует человеческому исправлению. Но в Новом Завете эта любовь не отменяет призыва к покаянию и новой жизни.</w:t>
      </w:r>
    </w:p>
    <w:p>
      <w:r>
        <w:rPr>
          <w:b/>
        </w:rPr>
        <w:t xml:space="preserve">В чём подмена: </w:t>
      </w:r>
      <w:r>
        <w:t>Истина о предшествующей благодати начинает работать как противовес самому требованию изменения.</w:t>
      </w:r>
    </w:p>
    <w:p>
      <w:r>
        <w:rPr>
          <w:b/>
        </w:rPr>
        <w:t xml:space="preserve">Функция в динамике: </w:t>
      </w:r>
      <w:r>
        <w:t>В сочетании с другими тезисами реестра это снижает внутренний конфликт между поступком и необходимостью покаяния.</w:t>
      </w:r>
    </w:p>
    <w:p>
      <w:pPr>
        <w:pStyle w:val="Heading1"/>
      </w:pPr>
      <w:r>
        <w:t>Системная карта</w:t>
      </w:r>
    </w:p>
    <w:p>
      <w:r>
        <w:t>В совокупности эпизоды образуют повторяющуюся схему:</w:t>
        <w:br/>
        <w:t>1) конкретная библейская фраза извлекается из её литературного и нравственного контекста;</w:t>
        <w:br/>
        <w:t>2) ей придаётся расширенное или противоположное значение;</w:t>
        <w:br/>
        <w:t>3) новая трактовка снимает обычную нравственную категорию — брак, верность, грех, покаяние, ответственность, проверку учения;</w:t>
        <w:br/>
        <w:t>4) вместо нормы вводятся «отношения», «дух», «внутреннее водительство», «особая связь»;</w:t>
        <w:br/>
        <w:t>5) именно Толяцифер объясняет Лилит, как распознавать эту внутреннюю реальность;</w:t>
        <w:br/>
        <w:t>6) несогласие легко маркируется как законничество, Вавилон, религия, человеческое мышление или движение против Иисуса.</w:t>
      </w:r>
    </w:p>
    <w:p>
      <w:pPr>
        <w:pStyle w:val="Heading1"/>
      </w:pPr>
      <w:r>
        <w:t>Наиболее сильные узлы</w:t>
      </w:r>
    </w:p>
    <w:p>
      <w:r>
        <w:t>Самые сильные и доказательные эпизоды: (1) осадный каннибализм → отрицание реальности семьи и любви; (2) 1 Кор 6:16 → размывание брака; (3) эротическая близость → «не из похоти», следовательно «чистота и святость»; (4) грех → немощь, не требующая покаяния; (5) «закона нет» → «нет преступления»; (6) Деян 10 → «мы должны кушать друг друга»; (7) Ин 6:63 → отмена внешних нравственных запретов.</w:t>
      </w:r>
    </w:p>
    <w:p>
      <w:pPr>
        <w:pStyle w:val="Heading1"/>
      </w:pPr>
      <w:r>
        <w:t>Оговорка о намерении</w:t>
      </w:r>
    </w:p>
    <w:p>
      <w:r>
        <w:t>Из самих транскриптов можно уверенно описывать механизм воздействия и результат интерпретации. Но утверждение, что каждая подмена была заранее сознательно придумана именно с целью ввести Лилит в грех, требует отдельного доказательства намерения. Там, где толкование систематически выгодно самому толкователю и совпадает с ослаблением границ, корректнее говорить: «интерпретация объективно выполняет эту функцию» или «создаёт такое воздействие», а сознательный умысел доказывать отдельными фрагментами.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